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08DA3F5" w14:textId="131C8B69" w:rsidR="00E23546" w:rsidRPr="0047045D" w:rsidRDefault="00E23546" w:rsidP="00E23546">
      <w:pPr>
        <w:spacing w:after="0" w:line="240" w:lineRule="auto"/>
        <w:ind w:firstLine="11907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bookmarkStart w:id="0" w:name="_Toc489016121"/>
      <w:r w:rsidRPr="0047045D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Załącznik nr </w:t>
      </w:r>
      <w:r w:rsidR="007244A6">
        <w:rPr>
          <w:rFonts w:ascii="Times New Roman" w:eastAsia="Times New Roman" w:hAnsi="Times New Roman" w:cs="Times New Roman"/>
          <w:sz w:val="20"/>
          <w:szCs w:val="20"/>
          <w:lang w:eastAsia="pl-PL"/>
        </w:rPr>
        <w:t>6</w:t>
      </w:r>
    </w:p>
    <w:p w14:paraId="708DA3F6" w14:textId="14551425" w:rsidR="00E23546" w:rsidRPr="00852F97" w:rsidRDefault="00E23546" w:rsidP="00E23546">
      <w:pPr>
        <w:spacing w:after="0" w:line="240" w:lineRule="auto"/>
        <w:ind w:firstLine="11907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852F97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do uchwały nr </w:t>
      </w:r>
      <w:r w:rsidR="00ED28ED">
        <w:rPr>
          <w:rFonts w:ascii="Times New Roman" w:eastAsia="Times New Roman" w:hAnsi="Times New Roman" w:cs="Times New Roman"/>
          <w:sz w:val="20"/>
          <w:szCs w:val="20"/>
          <w:lang w:eastAsia="pl-PL"/>
        </w:rPr>
        <w:t>145</w:t>
      </w:r>
      <w:r w:rsidRPr="00852F97">
        <w:rPr>
          <w:rFonts w:ascii="Times New Roman" w:eastAsia="Times New Roman" w:hAnsi="Times New Roman" w:cs="Times New Roman"/>
          <w:sz w:val="20"/>
          <w:szCs w:val="20"/>
          <w:lang w:eastAsia="pl-PL"/>
        </w:rPr>
        <w:t>/</w:t>
      </w:r>
      <w:r w:rsidR="00ED28ED">
        <w:rPr>
          <w:rFonts w:ascii="Times New Roman" w:eastAsia="Times New Roman" w:hAnsi="Times New Roman" w:cs="Times New Roman"/>
          <w:sz w:val="20"/>
          <w:szCs w:val="20"/>
          <w:lang w:eastAsia="pl-PL"/>
        </w:rPr>
        <w:t>10</w:t>
      </w:r>
      <w:r w:rsidRPr="00852F97">
        <w:rPr>
          <w:rFonts w:ascii="Times New Roman" w:eastAsia="Times New Roman" w:hAnsi="Times New Roman" w:cs="Times New Roman"/>
          <w:sz w:val="20"/>
          <w:szCs w:val="20"/>
          <w:lang w:eastAsia="pl-PL"/>
        </w:rPr>
        <w:t>/2022</w:t>
      </w:r>
    </w:p>
    <w:p w14:paraId="708DA3F7" w14:textId="77777777" w:rsidR="00E23546" w:rsidRPr="00852F97" w:rsidRDefault="00E23546" w:rsidP="00E23546">
      <w:pPr>
        <w:spacing w:after="0" w:line="240" w:lineRule="auto"/>
        <w:ind w:firstLine="11907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852F97">
        <w:rPr>
          <w:rFonts w:ascii="Times New Roman" w:eastAsia="Times New Roman" w:hAnsi="Times New Roman" w:cs="Times New Roman"/>
          <w:sz w:val="20"/>
          <w:szCs w:val="20"/>
          <w:lang w:eastAsia="pl-PL"/>
        </w:rPr>
        <w:t>Komisji Egzaminacyjnej</w:t>
      </w:r>
    </w:p>
    <w:p w14:paraId="708DA3F8" w14:textId="6388D229" w:rsidR="00E23546" w:rsidRDefault="00E23546" w:rsidP="00E23546">
      <w:pPr>
        <w:spacing w:after="0" w:line="240" w:lineRule="auto"/>
        <w:ind w:firstLine="11907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852F97">
        <w:rPr>
          <w:rFonts w:ascii="Times New Roman" w:eastAsia="Times New Roman" w:hAnsi="Times New Roman" w:cs="Times New Roman"/>
          <w:sz w:val="20"/>
          <w:szCs w:val="20"/>
          <w:lang w:eastAsia="pl-PL"/>
        </w:rPr>
        <w:t>z dnia 2</w:t>
      </w:r>
      <w:r w:rsidR="00ED28ED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1 </w:t>
      </w:r>
      <w:r w:rsidR="007542A8">
        <w:rPr>
          <w:rFonts w:ascii="Times New Roman" w:eastAsia="Times New Roman" w:hAnsi="Times New Roman" w:cs="Times New Roman"/>
          <w:sz w:val="20"/>
          <w:szCs w:val="20"/>
          <w:lang w:eastAsia="pl-PL"/>
        </w:rPr>
        <w:t>października</w:t>
      </w:r>
      <w:r w:rsidRPr="00852F97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2022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r.</w:t>
      </w:r>
    </w:p>
    <w:bookmarkEnd w:id="0"/>
    <w:p w14:paraId="708DA3F9" w14:textId="77777777" w:rsidR="00E23546" w:rsidRPr="0047045D" w:rsidRDefault="00E23546" w:rsidP="00E23546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sz w:val="6"/>
          <w:szCs w:val="24"/>
          <w:lang w:eastAsia="pl-PL"/>
        </w:rPr>
      </w:pPr>
    </w:p>
    <w:p w14:paraId="708DA3FA" w14:textId="77777777" w:rsidR="00E23546" w:rsidRPr="00BB476D" w:rsidRDefault="00E23546" w:rsidP="00E23546">
      <w:pPr>
        <w:spacing w:after="0" w:line="240" w:lineRule="auto"/>
        <w:ind w:firstLine="6663"/>
        <w:jc w:val="right"/>
        <w:rPr>
          <w:rFonts w:ascii="Times New Roman" w:eastAsia="Times New Roman" w:hAnsi="Times New Roman" w:cs="Times New Roman"/>
          <w:szCs w:val="24"/>
          <w:lang w:eastAsia="pl-PL"/>
        </w:rPr>
      </w:pPr>
    </w:p>
    <w:p w14:paraId="667938BF" w14:textId="76B31327" w:rsidR="00ED28ED" w:rsidRPr="00C23397" w:rsidRDefault="00ED28ED" w:rsidP="00ED28ED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C2339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Matryca (do wniosku TYPU </w:t>
      </w:r>
      <w:r w:rsidR="007244A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B</w:t>
      </w:r>
      <w:r w:rsidRPr="00C2339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) </w:t>
      </w:r>
    </w:p>
    <w:p w14:paraId="5382E54E" w14:textId="77777777" w:rsidR="00ED28ED" w:rsidRDefault="00ED28ED" w:rsidP="00ED28ED">
      <w:pPr>
        <w:spacing w:after="0" w:line="240" w:lineRule="auto"/>
        <w:ind w:left="-357" w:hanging="494"/>
        <w:jc w:val="center"/>
        <w:outlineLvl w:val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60A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adekwatności zrealizowanego programu przez kandydata z zakresem wiedzy wymaganym przez Komisję Egzaminacyjną </w:t>
      </w:r>
    </w:p>
    <w:p w14:paraId="5FA3CD15" w14:textId="77777777" w:rsidR="00ED28ED" w:rsidRPr="00860A5B" w:rsidRDefault="00ED28ED" w:rsidP="00ED28ED">
      <w:pPr>
        <w:spacing w:after="0" w:line="240" w:lineRule="auto"/>
        <w:ind w:left="-357" w:hanging="494"/>
        <w:jc w:val="center"/>
        <w:outlineLvl w:val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60A5B">
        <w:rPr>
          <w:rFonts w:ascii="Times New Roman" w:eastAsia="Times New Roman" w:hAnsi="Times New Roman" w:cs="Times New Roman"/>
          <w:sz w:val="24"/>
          <w:szCs w:val="24"/>
          <w:lang w:eastAsia="pl-PL"/>
        </w:rPr>
        <w:t>w postępowaniu kwalifikacyjnym</w:t>
      </w:r>
    </w:p>
    <w:p w14:paraId="29FF801D" w14:textId="77777777" w:rsidR="00ED28ED" w:rsidRDefault="00ED28ED" w:rsidP="00ED28ED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szCs w:val="24"/>
          <w:lang w:eastAsia="pl-PL"/>
        </w:rPr>
      </w:pPr>
      <w:r w:rsidRPr="00C45CA8">
        <w:rPr>
          <w:rFonts w:ascii="Times New Roman" w:eastAsia="Times New Roman" w:hAnsi="Times New Roman" w:cs="Times New Roman"/>
          <w:i/>
          <w:szCs w:val="24"/>
          <w:lang w:eastAsia="pl-PL"/>
        </w:rPr>
        <w:t xml:space="preserve">(na podstawie: Uchwały Nr 1273/30/2017 Krajowej Rady Biegłych Rewidentów z dnia 5 września 2017 r. w sprawie szczegółowego zakresu tematycznego egzaminów w postępowaniu kwalifikacyjnym na biegłych rewidentów </w:t>
      </w:r>
      <w:r w:rsidRPr="00C45CA8">
        <w:rPr>
          <w:rFonts w:ascii="Times New Roman" w:hAnsi="Times New Roman" w:cs="Times New Roman"/>
          <w:bCs/>
          <w:i/>
          <w:szCs w:val="24"/>
        </w:rPr>
        <w:t>zmienionej uchwałą Nr 2336/42/2022 Krajowej Rady Biegłych Rewidentów z dnia  30 sierpnia 2022 r.</w:t>
      </w:r>
      <w:r>
        <w:rPr>
          <w:rFonts w:ascii="Times New Roman" w:hAnsi="Times New Roman" w:cs="Times New Roman"/>
          <w:bCs/>
          <w:szCs w:val="24"/>
        </w:rPr>
        <w:t xml:space="preserve"> w przedmiocie zmiany uchwały w sprawie szczegółowego zakresu tematycznego egzaminów w postępowaniu kwalifikacyjnym na biegłych rewidentów</w:t>
      </w:r>
      <w:r>
        <w:rPr>
          <w:rFonts w:ascii="Times New Roman" w:eastAsia="Times New Roman" w:hAnsi="Times New Roman" w:cs="Times New Roman"/>
          <w:i/>
          <w:szCs w:val="24"/>
          <w:lang w:eastAsia="pl-PL"/>
        </w:rPr>
        <w:t xml:space="preserve">)  </w:t>
      </w:r>
    </w:p>
    <w:p w14:paraId="49E29813" w14:textId="77777777" w:rsidR="00ED28ED" w:rsidRPr="0047045D" w:rsidRDefault="00ED28ED" w:rsidP="00ED28ED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</w:pPr>
    </w:p>
    <w:p w14:paraId="708DA3FE" w14:textId="7096D5B6" w:rsidR="00E23546" w:rsidRPr="0057580B" w:rsidRDefault="00325C9D" w:rsidP="00E23546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</w:pPr>
      <w:r w:rsidRPr="0057580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>R</w:t>
      </w: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>achunkowość</w:t>
      </w:r>
      <w:bookmarkStart w:id="1" w:name="_GoBack"/>
      <w:bookmarkEnd w:id="1"/>
      <w:r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 xml:space="preserve"> finansowa</w:t>
      </w:r>
    </w:p>
    <w:p w14:paraId="708DA400" w14:textId="14F0EBF1" w:rsidR="00E23546" w:rsidRPr="00BB476D" w:rsidRDefault="00ED28ED" w:rsidP="00E23546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sz w:val="16"/>
          <w:szCs w:val="24"/>
          <w:lang w:eastAsia="pl-PL"/>
        </w:rPr>
      </w:pPr>
      <w:r w:rsidRPr="00BB476D">
        <w:rPr>
          <w:rFonts w:ascii="Times New Roman" w:eastAsia="Times New Roman" w:hAnsi="Times New Roman" w:cs="Times New Roman"/>
          <w:i/>
          <w:sz w:val="16"/>
          <w:szCs w:val="24"/>
          <w:lang w:eastAsia="pl-PL"/>
        </w:rPr>
        <w:t xml:space="preserve"> </w:t>
      </w:r>
      <w:r w:rsidR="00E23546" w:rsidRPr="00BB476D">
        <w:rPr>
          <w:rFonts w:ascii="Times New Roman" w:eastAsia="Times New Roman" w:hAnsi="Times New Roman" w:cs="Times New Roman"/>
          <w:i/>
          <w:sz w:val="16"/>
          <w:szCs w:val="24"/>
          <w:lang w:eastAsia="pl-PL"/>
        </w:rPr>
        <w:t>(nazwa egzaminu.)</w:t>
      </w:r>
    </w:p>
    <w:tbl>
      <w:tblPr>
        <w:tblStyle w:val="Tabela-Siatka118"/>
        <w:tblW w:w="15026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4537"/>
        <w:gridCol w:w="3118"/>
        <w:gridCol w:w="3686"/>
        <w:gridCol w:w="3685"/>
      </w:tblGrid>
      <w:tr w:rsidR="00E23546" w:rsidRPr="00BB476D" w14:paraId="708DA405" w14:textId="77777777" w:rsidTr="00ED28ED">
        <w:trPr>
          <w:trHeight w:val="420"/>
          <w:tblHeader/>
        </w:trPr>
        <w:tc>
          <w:tcPr>
            <w:tcW w:w="4537" w:type="dxa"/>
            <w:vMerge w:val="restart"/>
            <w:shd w:val="clear" w:color="auto" w:fill="D4A7B0"/>
            <w:vAlign w:val="center"/>
          </w:tcPr>
          <w:p w14:paraId="708DA401" w14:textId="77777777" w:rsidR="00E23546" w:rsidRPr="00BB476D" w:rsidRDefault="00E23546" w:rsidP="005929A5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BB476D">
              <w:rPr>
                <w:rFonts w:ascii="Times New Roman" w:eastAsia="Calibri" w:hAnsi="Times New Roman" w:cs="Times New Roman"/>
                <w:sz w:val="18"/>
                <w:szCs w:val="18"/>
              </w:rPr>
              <w:t>Zakres wymaganej wiedzy</w:t>
            </w:r>
          </w:p>
        </w:tc>
        <w:tc>
          <w:tcPr>
            <w:tcW w:w="10489" w:type="dxa"/>
            <w:gridSpan w:val="3"/>
            <w:shd w:val="clear" w:color="auto" w:fill="D4A7B0"/>
          </w:tcPr>
          <w:p w14:paraId="708DA402" w14:textId="77777777" w:rsidR="00E23546" w:rsidRPr="00BB476D" w:rsidRDefault="00E23546" w:rsidP="005929A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BB476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Tematy znajdujące odzwierciedlenie w programach przedmiotu uczelnianego</w:t>
            </w:r>
          </w:p>
          <w:p w14:paraId="708DA403" w14:textId="77777777" w:rsidR="00E23546" w:rsidRPr="00BB476D" w:rsidRDefault="00E23546" w:rsidP="005929A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BB476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 xml:space="preserve">Treść  w  odniesieniu do właściwego punktu zakresu wymaganej wiedzy </w:t>
            </w:r>
          </w:p>
          <w:p w14:paraId="708DA404" w14:textId="77777777" w:rsidR="00E23546" w:rsidRPr="00BB476D" w:rsidRDefault="00E23546" w:rsidP="005929A5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E23546" w:rsidRPr="00BB476D" w14:paraId="708DA417" w14:textId="77777777" w:rsidTr="00ED28ED">
        <w:trPr>
          <w:trHeight w:val="668"/>
          <w:tblHeader/>
        </w:trPr>
        <w:tc>
          <w:tcPr>
            <w:tcW w:w="4537" w:type="dxa"/>
            <w:vMerge/>
            <w:shd w:val="clear" w:color="auto" w:fill="D4A7B0"/>
            <w:vAlign w:val="center"/>
          </w:tcPr>
          <w:p w14:paraId="708DA406" w14:textId="77777777" w:rsidR="00E23546" w:rsidRPr="00BB476D" w:rsidRDefault="00E23546" w:rsidP="005929A5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3118" w:type="dxa"/>
            <w:shd w:val="clear" w:color="auto" w:fill="D4A7B0"/>
          </w:tcPr>
          <w:p w14:paraId="708DA407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708DA408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476D">
              <w:rPr>
                <w:rFonts w:ascii="Times New Roman" w:eastAsia="Calibri" w:hAnsi="Times New Roman" w:cs="Times New Roman"/>
                <w:sz w:val="20"/>
                <w:szCs w:val="20"/>
              </w:rPr>
              <w:t>……………………………….</w:t>
            </w:r>
          </w:p>
          <w:p w14:paraId="708DA409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BB476D">
              <w:rPr>
                <w:rFonts w:ascii="Times New Roman" w:eastAsia="Calibri" w:hAnsi="Times New Roman" w:cs="Times New Roman"/>
                <w:sz w:val="18"/>
                <w:szCs w:val="18"/>
              </w:rPr>
              <w:t>Nazwa przedmiotu uczelnianego</w:t>
            </w:r>
          </w:p>
          <w:p w14:paraId="708DA40A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476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Treść sylabusa/karty </w:t>
            </w:r>
          </w:p>
          <w:p w14:paraId="708DA40B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20"/>
                <w:szCs w:val="16"/>
              </w:rPr>
            </w:pPr>
            <w:r w:rsidRPr="00BB476D">
              <w:rPr>
                <w:rFonts w:ascii="Times New Roman" w:eastAsia="Calibri" w:hAnsi="Times New Roman" w:cs="Times New Roman"/>
                <w:sz w:val="20"/>
                <w:szCs w:val="20"/>
              </w:rPr>
              <w:t>adekwatnie do zakresu wymaganej wiedzy ujętej w kolumnie 1</w:t>
            </w:r>
            <w:r>
              <w:rPr>
                <w:rStyle w:val="Odwoanieprzypisudolnego"/>
                <w:rFonts w:ascii="Times New Roman" w:eastAsia="Calibri" w:hAnsi="Times New Roman" w:cs="Times New Roman"/>
                <w:sz w:val="20"/>
                <w:szCs w:val="20"/>
              </w:rPr>
              <w:footnoteReference w:id="1"/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,</w:t>
            </w:r>
            <w:r w:rsidRPr="00BB476D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  <w:footnoteReference w:id="2"/>
            </w:r>
          </w:p>
          <w:p w14:paraId="708DA40C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18"/>
              </w:rPr>
            </w:pPr>
          </w:p>
        </w:tc>
        <w:tc>
          <w:tcPr>
            <w:tcW w:w="3686" w:type="dxa"/>
            <w:shd w:val="clear" w:color="auto" w:fill="D4A7B0"/>
          </w:tcPr>
          <w:p w14:paraId="708DA40D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708DA40E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476D">
              <w:rPr>
                <w:rFonts w:ascii="Times New Roman" w:eastAsia="Calibri" w:hAnsi="Times New Roman" w:cs="Times New Roman"/>
                <w:sz w:val="20"/>
                <w:szCs w:val="20"/>
              </w:rPr>
              <w:t>……………………………….</w:t>
            </w:r>
          </w:p>
          <w:p w14:paraId="708DA40F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BB476D">
              <w:rPr>
                <w:rFonts w:ascii="Times New Roman" w:eastAsia="Calibri" w:hAnsi="Times New Roman" w:cs="Times New Roman"/>
                <w:sz w:val="18"/>
                <w:szCs w:val="18"/>
              </w:rPr>
              <w:t>Nazwa 2 przedmiotu uczelnianego</w:t>
            </w:r>
          </w:p>
          <w:p w14:paraId="708DA410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476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Treść sylabusa/karty </w:t>
            </w:r>
          </w:p>
          <w:p w14:paraId="708DA411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18"/>
              </w:rPr>
            </w:pPr>
            <w:r w:rsidRPr="00BB476D">
              <w:rPr>
                <w:rFonts w:ascii="Times New Roman" w:eastAsia="Calibri" w:hAnsi="Times New Roman" w:cs="Times New Roman"/>
                <w:sz w:val="20"/>
                <w:szCs w:val="20"/>
              </w:rPr>
              <w:t>adekwatnie do zakresu wymaganej wiedzy ujętej w kolumnie 1</w:t>
            </w:r>
          </w:p>
        </w:tc>
        <w:tc>
          <w:tcPr>
            <w:tcW w:w="3685" w:type="dxa"/>
            <w:shd w:val="clear" w:color="auto" w:fill="D4A7B0"/>
          </w:tcPr>
          <w:p w14:paraId="708DA412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708DA413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476D">
              <w:rPr>
                <w:rFonts w:ascii="Times New Roman" w:eastAsia="Calibri" w:hAnsi="Times New Roman" w:cs="Times New Roman"/>
                <w:sz w:val="20"/>
                <w:szCs w:val="20"/>
              </w:rPr>
              <w:t>……………………………….</w:t>
            </w:r>
          </w:p>
          <w:p w14:paraId="708DA414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BB476D">
              <w:rPr>
                <w:rFonts w:ascii="Times New Roman" w:eastAsia="Calibri" w:hAnsi="Times New Roman" w:cs="Times New Roman"/>
                <w:sz w:val="18"/>
                <w:szCs w:val="18"/>
              </w:rPr>
              <w:t>Nazwa 3 przedmiotu uczelnianego</w:t>
            </w:r>
          </w:p>
          <w:p w14:paraId="708DA415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476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Treść sylabusa/karty </w:t>
            </w:r>
          </w:p>
          <w:p w14:paraId="708DA416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18"/>
              </w:rPr>
            </w:pPr>
            <w:r w:rsidRPr="00BB476D">
              <w:rPr>
                <w:rFonts w:ascii="Times New Roman" w:eastAsia="Calibri" w:hAnsi="Times New Roman" w:cs="Times New Roman"/>
                <w:sz w:val="20"/>
                <w:szCs w:val="20"/>
              </w:rPr>
              <w:t>adekwatnie do zakresu wymaganej wiedzy ujętej w kolumnie 1</w:t>
            </w:r>
          </w:p>
        </w:tc>
      </w:tr>
      <w:tr w:rsidR="00E23546" w:rsidRPr="00BB476D" w14:paraId="708DA41C" w14:textId="77777777" w:rsidTr="00ED28ED">
        <w:trPr>
          <w:trHeight w:val="280"/>
          <w:tblHeader/>
        </w:trPr>
        <w:tc>
          <w:tcPr>
            <w:tcW w:w="4537" w:type="dxa"/>
            <w:shd w:val="clear" w:color="auto" w:fill="D4A7B0"/>
            <w:vAlign w:val="center"/>
          </w:tcPr>
          <w:p w14:paraId="708DA418" w14:textId="77777777" w:rsidR="00E23546" w:rsidRPr="00BB476D" w:rsidRDefault="00E23546" w:rsidP="005929A5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BB476D">
              <w:rPr>
                <w:rFonts w:ascii="Times New Roman" w:eastAsia="Calibri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3118" w:type="dxa"/>
            <w:shd w:val="clear" w:color="auto" w:fill="D4A7B0"/>
          </w:tcPr>
          <w:p w14:paraId="708DA419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BB476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2</w:t>
            </w:r>
          </w:p>
        </w:tc>
        <w:tc>
          <w:tcPr>
            <w:tcW w:w="3686" w:type="dxa"/>
            <w:shd w:val="clear" w:color="auto" w:fill="D4A7B0"/>
          </w:tcPr>
          <w:p w14:paraId="708DA41A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BB476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3</w:t>
            </w:r>
          </w:p>
        </w:tc>
        <w:tc>
          <w:tcPr>
            <w:tcW w:w="3685" w:type="dxa"/>
            <w:shd w:val="clear" w:color="auto" w:fill="D4A7B0"/>
          </w:tcPr>
          <w:p w14:paraId="708DA41B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BB476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4</w:t>
            </w:r>
          </w:p>
        </w:tc>
      </w:tr>
      <w:tr w:rsidR="00E23546" w:rsidRPr="00BB476D" w14:paraId="708DA421" w14:textId="77777777" w:rsidTr="00ED28ED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2400"/>
        </w:trPr>
        <w:tc>
          <w:tcPr>
            <w:tcW w:w="4537" w:type="dxa"/>
          </w:tcPr>
          <w:p w14:paraId="2698264C" w14:textId="77777777" w:rsidR="00880601" w:rsidRDefault="00965E4E" w:rsidP="005929A5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6.1. </w:t>
            </w:r>
            <w:r w:rsidRPr="00D57E17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Rachunkowość finansowa jednostek, w tym spółek publicznych – według ustawy o rachunkowości (UoR) i </w:t>
            </w:r>
          </w:p>
          <w:p w14:paraId="06C054FD" w14:textId="77777777" w:rsidR="00880601" w:rsidRDefault="00880601" w:rsidP="005929A5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77459F76" w14:textId="77777777" w:rsidR="00880601" w:rsidRDefault="00880601" w:rsidP="005929A5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2E75C2B9" w14:textId="77777777" w:rsidR="00880601" w:rsidRDefault="00880601" w:rsidP="005929A5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225F6FCF" w14:textId="77777777" w:rsidR="00880601" w:rsidRDefault="00880601" w:rsidP="005929A5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49F78A99" w14:textId="76BBEC26" w:rsidR="00E23546" w:rsidRDefault="00965E4E" w:rsidP="005929A5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b/>
                <w:sz w:val="18"/>
                <w:szCs w:val="18"/>
              </w:rPr>
              <w:t>MSR</w:t>
            </w:r>
            <w:r w:rsidRPr="00D57E17">
              <w:rPr>
                <w:rStyle w:val="Odwoanieprzypisudolnego"/>
                <w:rFonts w:ascii="Times New Roman" w:hAnsi="Times New Roman" w:cs="Times New Roman"/>
                <w:b/>
                <w:sz w:val="18"/>
                <w:szCs w:val="18"/>
              </w:rPr>
              <w:footnoteReference w:id="3"/>
            </w:r>
            <w:r w:rsidRPr="00D57E17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(z wyłączeniem jednostek prowadzących działalność na podstawie prawa bankowego, ustawy o obrocie instrumentami finansowymi, przepisów o funduszach inwestycyjnych, ustawy o spółdzielczych kasach oszczędnościowo-kredytowych, ustawy </w:t>
            </w:r>
            <w:r w:rsidRPr="00D57E17"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>o instytucjach płatniczych oraz ustawy o działalności ubezpieczeniowej, ustawy o organizacji i funkcjonowaniu funduszy emerytalnych i ustawy o finansach publicznych)</w:t>
            </w:r>
          </w:p>
          <w:p w14:paraId="6EBA8D75" w14:textId="77777777" w:rsidR="00DC5C07" w:rsidRDefault="00DC5C07" w:rsidP="005929A5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4F293E9A" w14:textId="0CADEABD" w:rsidR="00B22DA4" w:rsidRDefault="003313A3" w:rsidP="005929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6.1.1.</w:t>
            </w:r>
            <w:r w:rsidR="00E14D7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Wycena początkowa, bieżąca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i bilansowa poszczególnych </w:t>
            </w:r>
          </w:p>
          <w:p w14:paraId="0F8AB56E" w14:textId="07131F4B" w:rsidR="00244484" w:rsidRDefault="00B22DA4" w:rsidP="005929A5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    </w:t>
            </w:r>
            <w:r w:rsidR="00E14D7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3313A3" w:rsidRPr="00D57E17">
              <w:rPr>
                <w:rFonts w:ascii="Times New Roman" w:hAnsi="Times New Roman" w:cs="Times New Roman"/>
                <w:sz w:val="18"/>
                <w:szCs w:val="18"/>
              </w:rPr>
              <w:t>składników aktywów i</w:t>
            </w:r>
            <w:r w:rsidR="003313A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3313A3" w:rsidRPr="00D57E17">
              <w:rPr>
                <w:rFonts w:ascii="Times New Roman" w:hAnsi="Times New Roman" w:cs="Times New Roman"/>
                <w:sz w:val="18"/>
                <w:szCs w:val="18"/>
              </w:rPr>
              <w:t>pasywów</w:t>
            </w:r>
          </w:p>
          <w:p w14:paraId="610DC8F0" w14:textId="03A4306E" w:rsidR="00B22DA4" w:rsidRDefault="003C1D8B" w:rsidP="005929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6.1.2.</w:t>
            </w:r>
            <w:r w:rsidR="00E14D7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Ujęcie w księgach rachunkowych i prezentacja w </w:t>
            </w:r>
          </w:p>
          <w:p w14:paraId="0B48E803" w14:textId="77777777" w:rsidR="00B22DA4" w:rsidRDefault="00B22DA4" w:rsidP="005929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     </w:t>
            </w:r>
            <w:r w:rsidR="003C1D8B"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sprawozdaniu finansowym zdarzeń związanych z </w:t>
            </w:r>
          </w:p>
          <w:p w14:paraId="4E854FC2" w14:textId="0F161F10" w:rsidR="00B22DA4" w:rsidRPr="00B22DA4" w:rsidRDefault="00B22DA4" w:rsidP="005929A5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     </w:t>
            </w:r>
            <w:r w:rsidR="003C1D8B" w:rsidRPr="00D57E17">
              <w:rPr>
                <w:rFonts w:ascii="Times New Roman" w:hAnsi="Times New Roman" w:cs="Times New Roman"/>
                <w:sz w:val="18"/>
                <w:szCs w:val="18"/>
              </w:rPr>
              <w:t>działalnością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operacyjną, inwestycyjną i finansową</w:t>
            </w:r>
          </w:p>
          <w:p w14:paraId="7ABF3DBC" w14:textId="4CE29792" w:rsidR="00B22DA4" w:rsidRDefault="0097695A" w:rsidP="005929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6.1.3.</w:t>
            </w:r>
            <w:r w:rsidR="00E14D7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Ujęcie w księgach rachunkowych i prezentacja w </w:t>
            </w:r>
          </w:p>
          <w:p w14:paraId="4C629274" w14:textId="77777777" w:rsidR="00B22DA4" w:rsidRDefault="00B22DA4" w:rsidP="005929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     </w:t>
            </w:r>
            <w:r w:rsidR="0097695A"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sprawozdaniu finansowym różnic pomiędzy wyceną bieżącą i </w:t>
            </w:r>
          </w:p>
          <w:p w14:paraId="3A750262" w14:textId="756CB235" w:rsidR="00244484" w:rsidRDefault="00B22DA4" w:rsidP="005929A5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     </w:t>
            </w:r>
            <w:r w:rsidR="0097695A" w:rsidRPr="00D57E17">
              <w:rPr>
                <w:rFonts w:ascii="Times New Roman" w:hAnsi="Times New Roman" w:cs="Times New Roman"/>
                <w:sz w:val="18"/>
                <w:szCs w:val="18"/>
              </w:rPr>
              <w:t>wyceną bilansową aktywów i pasywów</w:t>
            </w:r>
          </w:p>
          <w:p w14:paraId="556A8C7F" w14:textId="77777777" w:rsidR="00181271" w:rsidRDefault="00714B21" w:rsidP="005929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6.1.4.</w:t>
            </w:r>
            <w:r w:rsidR="0018127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Księgowe ujęcie i prezentacja w sprawozdaniu finansowym </w:t>
            </w:r>
          </w:p>
          <w:p w14:paraId="51C16CBB" w14:textId="2EDC13BA" w:rsidR="00244484" w:rsidRDefault="00181271" w:rsidP="005929A5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     </w:t>
            </w:r>
            <w:r w:rsidR="00714B21" w:rsidRPr="00D57E17">
              <w:rPr>
                <w:rFonts w:ascii="Times New Roman" w:hAnsi="Times New Roman" w:cs="Times New Roman"/>
                <w:sz w:val="18"/>
                <w:szCs w:val="18"/>
              </w:rPr>
              <w:t>procesu sprzedaży produktów i towarów</w:t>
            </w:r>
          </w:p>
          <w:p w14:paraId="74F93BC8" w14:textId="77777777" w:rsidR="00181271" w:rsidRDefault="006D771E" w:rsidP="005929A5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6D771E">
              <w:rPr>
                <w:rFonts w:ascii="Times New Roman" w:eastAsia="Calibri" w:hAnsi="Times New Roman" w:cs="Times New Roman"/>
                <w:sz w:val="18"/>
                <w:szCs w:val="18"/>
              </w:rPr>
              <w:t>6.1.5.</w:t>
            </w:r>
            <w:r w:rsidR="00181271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r w:rsidRPr="006D771E">
              <w:rPr>
                <w:rFonts w:ascii="Times New Roman" w:eastAsia="Calibri" w:hAnsi="Times New Roman" w:cs="Times New Roman"/>
                <w:sz w:val="18"/>
                <w:szCs w:val="18"/>
              </w:rPr>
              <w:t>Wycena, ujęcie w księgach rachunkowych i prezentacja w</w:t>
            </w:r>
          </w:p>
          <w:p w14:paraId="1AE5760B" w14:textId="1F1BE12A" w:rsidR="00244484" w:rsidRDefault="00181271" w:rsidP="005929A5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       </w:t>
            </w:r>
            <w:r w:rsidR="006D771E" w:rsidRPr="006D771E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sprawozdaniu finansowym pozostałej działalności operacyjnej</w:t>
            </w:r>
          </w:p>
          <w:p w14:paraId="118EAACF" w14:textId="77777777" w:rsidR="00181271" w:rsidRDefault="00596BEF" w:rsidP="005929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6.1.6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18127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Wycena, księgowe ujęcie i prezentacja w sprawozdaniu </w:t>
            </w:r>
          </w:p>
          <w:p w14:paraId="259897AB" w14:textId="546D4EAE" w:rsidR="00244484" w:rsidRDefault="00181271" w:rsidP="005929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     </w:t>
            </w:r>
            <w:r w:rsidR="00596BEF">
              <w:rPr>
                <w:rFonts w:ascii="Times New Roman" w:hAnsi="Times New Roman" w:cs="Times New Roman"/>
                <w:sz w:val="18"/>
                <w:szCs w:val="18"/>
              </w:rPr>
              <w:t>finansowym operacji finansowych</w:t>
            </w:r>
          </w:p>
          <w:p w14:paraId="114605CE" w14:textId="6E7B5360" w:rsidR="00666B16" w:rsidRPr="00666B16" w:rsidRDefault="00614563" w:rsidP="005929A5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614563">
              <w:rPr>
                <w:rFonts w:ascii="Times New Roman" w:eastAsia="Calibri" w:hAnsi="Times New Roman" w:cs="Times New Roman"/>
                <w:sz w:val="18"/>
                <w:szCs w:val="18"/>
              </w:rPr>
              <w:t>6.1.7.</w:t>
            </w:r>
            <w:r w:rsidR="00181271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r w:rsidRPr="00614563">
              <w:rPr>
                <w:rFonts w:ascii="Times New Roman" w:eastAsia="Calibri" w:hAnsi="Times New Roman" w:cs="Times New Roman"/>
                <w:sz w:val="18"/>
                <w:szCs w:val="18"/>
              </w:rPr>
              <w:t>Ustalanie wyniku finansowego i jego rozliczani</w:t>
            </w:r>
            <w:r w:rsidR="008265BD">
              <w:rPr>
                <w:rFonts w:ascii="Times New Roman" w:eastAsia="Calibri" w:hAnsi="Times New Roman" w:cs="Times New Roman"/>
                <w:sz w:val="18"/>
                <w:szCs w:val="18"/>
              </w:rPr>
              <w:t>e</w:t>
            </w:r>
          </w:p>
          <w:p w14:paraId="1536CB2B" w14:textId="578D4A60" w:rsidR="00443EC5" w:rsidRDefault="00666B16" w:rsidP="00B06E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6.1.8.</w:t>
            </w:r>
            <w:r w:rsidR="0018127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Zasady wyceny, ujmowania i prezentacji w </w:t>
            </w:r>
            <w:r w:rsidR="00443EC5"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  <w:r w:rsidR="00B06ED1">
              <w:rPr>
                <w:rFonts w:ascii="Times New Roman" w:hAnsi="Times New Roman" w:cs="Times New Roman"/>
                <w:sz w:val="18"/>
                <w:szCs w:val="18"/>
              </w:rPr>
              <w:t>s</w:t>
            </w:r>
            <w:r w:rsidR="00B06ED1" w:rsidRPr="00D57E17">
              <w:rPr>
                <w:rFonts w:ascii="Times New Roman" w:hAnsi="Times New Roman" w:cs="Times New Roman"/>
                <w:sz w:val="18"/>
                <w:szCs w:val="18"/>
              </w:rPr>
              <w:t>prawozdaniu</w:t>
            </w:r>
          </w:p>
          <w:p w14:paraId="4F0B2B00" w14:textId="74D964B3" w:rsidR="00443EC5" w:rsidRDefault="00443EC5" w:rsidP="00B06E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      </w:t>
            </w:r>
            <w:r w:rsidR="00666B16"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finansowym wybranych zagadnień, w </w:t>
            </w:r>
            <w:r w:rsidR="00B06ED1" w:rsidRPr="00D57E17">
              <w:rPr>
                <w:rFonts w:ascii="Times New Roman" w:hAnsi="Times New Roman" w:cs="Times New Roman"/>
                <w:sz w:val="18"/>
                <w:szCs w:val="18"/>
              </w:rPr>
              <w:t>szczególności</w:t>
            </w:r>
            <w:r w:rsidR="00B06ED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B06ED1" w:rsidRPr="00D57E17">
              <w:rPr>
                <w:rFonts w:ascii="Times New Roman" w:hAnsi="Times New Roman" w:cs="Times New Roman"/>
                <w:sz w:val="18"/>
                <w:szCs w:val="18"/>
              </w:rPr>
              <w:t>takich</w:t>
            </w:r>
          </w:p>
          <w:p w14:paraId="465971EC" w14:textId="3CBEA475" w:rsidR="00666B16" w:rsidRPr="00D57E17" w:rsidRDefault="00443EC5" w:rsidP="00B06E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  </w:t>
            </w:r>
            <w:r w:rsidR="00B06ED1"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  <w:r w:rsidR="00666B16"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jak: </w:t>
            </w:r>
          </w:p>
          <w:p w14:paraId="70744C83" w14:textId="77777777" w:rsidR="00666B16" w:rsidRPr="00D57E17" w:rsidRDefault="00666B16" w:rsidP="00666B16">
            <w:pPr>
              <w:pStyle w:val="Akapitzlist"/>
              <w:numPr>
                <w:ilvl w:val="0"/>
                <w:numId w:val="7"/>
              </w:num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umowy długoterminowe, </w:t>
            </w:r>
          </w:p>
          <w:p w14:paraId="38A83F5E" w14:textId="77777777" w:rsidR="00666B16" w:rsidRPr="00D57E17" w:rsidRDefault="00666B16" w:rsidP="00666B16">
            <w:pPr>
              <w:pStyle w:val="Akapitzlist"/>
              <w:numPr>
                <w:ilvl w:val="0"/>
                <w:numId w:val="7"/>
              </w:num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leasing, </w:t>
            </w: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ab/>
            </w:r>
          </w:p>
          <w:p w14:paraId="2993C3B4" w14:textId="77777777" w:rsidR="00666B16" w:rsidRPr="00D57E17" w:rsidRDefault="00666B16" w:rsidP="00666B16">
            <w:pPr>
              <w:pStyle w:val="Akapitzlist"/>
              <w:numPr>
                <w:ilvl w:val="0"/>
                <w:numId w:val="7"/>
              </w:num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utrata wartości aktywów, </w:t>
            </w:r>
          </w:p>
          <w:p w14:paraId="24C79FF7" w14:textId="77777777" w:rsidR="00666B16" w:rsidRPr="00D57E17" w:rsidRDefault="00666B16" w:rsidP="00666B16">
            <w:pPr>
              <w:pStyle w:val="Akapitzlist"/>
              <w:numPr>
                <w:ilvl w:val="0"/>
                <w:numId w:val="7"/>
              </w:num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odroczony podatek dochodowy,</w:t>
            </w:r>
          </w:p>
          <w:p w14:paraId="449D192D" w14:textId="12211DC3" w:rsidR="00666B16" w:rsidRPr="008265BD" w:rsidRDefault="00666B16" w:rsidP="008265BD">
            <w:pPr>
              <w:pStyle w:val="Akapitzlist"/>
              <w:numPr>
                <w:ilvl w:val="0"/>
                <w:numId w:val="7"/>
              </w:num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dotacje rządowe, </w:t>
            </w:r>
          </w:p>
          <w:p w14:paraId="5DA0C450" w14:textId="668FA5AB" w:rsidR="00666B16" w:rsidRPr="00D57E17" w:rsidRDefault="00666B16" w:rsidP="008265BD">
            <w:pPr>
              <w:pStyle w:val="Akapitzlist"/>
              <w:numPr>
                <w:ilvl w:val="0"/>
                <w:numId w:val="7"/>
              </w:num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instrumenty finansowe, </w:t>
            </w:r>
          </w:p>
          <w:p w14:paraId="7B981371" w14:textId="2E2DD0E4" w:rsidR="00666B16" w:rsidRPr="00D57E17" w:rsidRDefault="00666B16" w:rsidP="00666B16">
            <w:pPr>
              <w:pStyle w:val="Akapitzlist"/>
              <w:numPr>
                <w:ilvl w:val="0"/>
                <w:numId w:val="7"/>
              </w:num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zmiany zasad rachunkowości </w:t>
            </w:r>
          </w:p>
          <w:p w14:paraId="142EC2DA" w14:textId="77777777" w:rsidR="00666B16" w:rsidRPr="00D57E17" w:rsidRDefault="00666B16" w:rsidP="00666B16">
            <w:pPr>
              <w:pStyle w:val="Akapitzlist"/>
              <w:numPr>
                <w:ilvl w:val="0"/>
                <w:numId w:val="7"/>
              </w:num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zdarzenia po dacie bilansu,</w:t>
            </w:r>
          </w:p>
          <w:p w14:paraId="60F5CEC7" w14:textId="77777777" w:rsidR="00666B16" w:rsidRPr="00D57E17" w:rsidRDefault="00666B16" w:rsidP="00666B16">
            <w:pPr>
              <w:pStyle w:val="Akapitzlist"/>
              <w:numPr>
                <w:ilvl w:val="0"/>
                <w:numId w:val="7"/>
              </w:num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błąd lat ubiegłych.</w:t>
            </w:r>
          </w:p>
          <w:p w14:paraId="7C541FE0" w14:textId="77777777" w:rsidR="00C6321F" w:rsidRDefault="00666B16" w:rsidP="00666B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6.1.9.Szczególne wymagania wobec rachunkowości spółek </w:t>
            </w:r>
          </w:p>
          <w:p w14:paraId="669E803A" w14:textId="78696CB5" w:rsidR="00596BEF" w:rsidRDefault="00C6321F" w:rsidP="00666B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    </w:t>
            </w:r>
            <w:r w:rsidR="00666B16" w:rsidRPr="00D57E17">
              <w:rPr>
                <w:rFonts w:ascii="Times New Roman" w:hAnsi="Times New Roman" w:cs="Times New Roman"/>
                <w:sz w:val="18"/>
                <w:szCs w:val="18"/>
              </w:rPr>
              <w:t>publicznych.</w:t>
            </w:r>
          </w:p>
          <w:p w14:paraId="66BA520E" w14:textId="10478F7C" w:rsidR="000E6F52" w:rsidRDefault="00076527" w:rsidP="00666B16">
            <w:pPr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076527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6.2. Zmiana podstawy prawnej sporządzania sprawozdań finansowych</w:t>
            </w:r>
          </w:p>
          <w:p w14:paraId="045B3639" w14:textId="77777777" w:rsidR="00F249F9" w:rsidRDefault="00F249F9" w:rsidP="00666B16">
            <w:pPr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</w:p>
          <w:p w14:paraId="3A905F71" w14:textId="4FAA3842" w:rsidR="00952B01" w:rsidRDefault="00952B01" w:rsidP="00666B16">
            <w:pPr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952B01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6.3. Rachunkowość finansowa jednostek prowadzących działalność na podstawie prawa bankowego, ustawy o obrocie instrumentami finansowymi, przepisów o funduszach inwestycyjnych, ustawy o spółdzielczych kasach oszczędnościowo-kredytowych oraz ustawy o instytucjach płatniczych – według ustawy o rachunkowości (UoR) i MSR.</w:t>
            </w:r>
          </w:p>
          <w:p w14:paraId="25470B13" w14:textId="77777777" w:rsidR="00F249F9" w:rsidRDefault="00F249F9" w:rsidP="00666B16">
            <w:pPr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</w:p>
          <w:p w14:paraId="21BD9453" w14:textId="2F87360E" w:rsidR="00842B05" w:rsidRPr="00842B05" w:rsidRDefault="00842B05" w:rsidP="00842B05">
            <w:pPr>
              <w:ind w:left="471" w:hanging="471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6.</w:t>
            </w:r>
            <w:r w:rsidRPr="00842B05">
              <w:rPr>
                <w:rFonts w:ascii="Times New Roman" w:eastAsia="Calibri" w:hAnsi="Times New Roman" w:cs="Times New Roman"/>
                <w:sz w:val="18"/>
                <w:szCs w:val="18"/>
              </w:rPr>
              <w:t>.3.1.</w:t>
            </w:r>
            <w:r w:rsidRPr="00842B05">
              <w:rPr>
                <w:rFonts w:ascii="Times New Roman" w:eastAsia="Calibri" w:hAnsi="Times New Roman" w:cs="Times New Roman"/>
                <w:sz w:val="18"/>
                <w:szCs w:val="18"/>
              </w:rPr>
              <w:tab/>
              <w:t xml:space="preserve">Wycena początkowa, bieżąca i bilansowa poszczególnych </w:t>
            </w:r>
            <w:r w:rsidR="00F249F9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r w:rsidRPr="00842B05">
              <w:rPr>
                <w:rFonts w:ascii="Times New Roman" w:eastAsia="Calibri" w:hAnsi="Times New Roman" w:cs="Times New Roman"/>
                <w:sz w:val="18"/>
                <w:szCs w:val="18"/>
              </w:rPr>
              <w:t>składników aktywów i pasywów.</w:t>
            </w:r>
          </w:p>
          <w:p w14:paraId="2C6E7FDE" w14:textId="77777777" w:rsidR="003F69E5" w:rsidRDefault="00842B05" w:rsidP="00842B05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42B05">
              <w:rPr>
                <w:rFonts w:ascii="Times New Roman" w:eastAsia="Calibri" w:hAnsi="Times New Roman" w:cs="Times New Roman"/>
                <w:sz w:val="18"/>
                <w:szCs w:val="18"/>
              </w:rPr>
              <w:t>6.3.2.</w:t>
            </w:r>
            <w:r w:rsidR="00C6321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r w:rsidRPr="00842B05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Ujęcie w księgach rachunkowych zdarzeń gospodarczych </w:t>
            </w:r>
          </w:p>
          <w:p w14:paraId="44FFD768" w14:textId="3180AEBF" w:rsidR="003F69E5" w:rsidRDefault="003F69E5" w:rsidP="00842B05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       </w:t>
            </w:r>
            <w:r w:rsidR="00F249F9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r w:rsidR="00EC30FE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r w:rsidR="00842B05" w:rsidRPr="00842B05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związanych z działalnością operacyjną oraz inwestycyjną i </w:t>
            </w:r>
          </w:p>
          <w:p w14:paraId="01B61177" w14:textId="30BC9CDF" w:rsidR="00EC30FE" w:rsidRDefault="003F69E5" w:rsidP="00842B05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     </w:t>
            </w:r>
            <w:r w:rsidR="00F249F9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r w:rsidR="00EC30FE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</w:t>
            </w:r>
            <w:r w:rsidR="00842B05" w:rsidRPr="00842B05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finansową scharakteryzowanych w punkcie 6.1.2. a ponadto </w:t>
            </w:r>
          </w:p>
          <w:p w14:paraId="3C9B484B" w14:textId="4EDAD56D" w:rsidR="00EC30FE" w:rsidRDefault="00EC30FE" w:rsidP="00842B05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     </w:t>
            </w:r>
            <w:r w:rsidR="00F249F9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 </w:t>
            </w:r>
            <w:r w:rsidR="00842B05" w:rsidRPr="00842B05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operacji specyficznych dla działalności bankowej, </w:t>
            </w:r>
          </w:p>
          <w:p w14:paraId="2197F342" w14:textId="3C3A9C33" w:rsidR="00EC30FE" w:rsidRDefault="00EC30FE" w:rsidP="00842B05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       </w:t>
            </w:r>
            <w:r w:rsidR="00F249F9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r w:rsidR="00842B05" w:rsidRPr="00842B05">
              <w:rPr>
                <w:rFonts w:ascii="Times New Roman" w:eastAsia="Calibri" w:hAnsi="Times New Roman" w:cs="Times New Roman"/>
                <w:sz w:val="18"/>
                <w:szCs w:val="18"/>
              </w:rPr>
              <w:t>maklerskiej</w: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, </w:t>
            </w:r>
            <w:r w:rsidR="00842B05" w:rsidRPr="00842B05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inwestycyjnej, spółdzielczych kas </w:t>
            </w:r>
          </w:p>
          <w:p w14:paraId="2827918C" w14:textId="4387EE68" w:rsidR="00EC30FE" w:rsidRPr="00EC30FE" w:rsidRDefault="00EC30FE" w:rsidP="00842B0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         </w:t>
            </w:r>
            <w:r w:rsidR="00842B05" w:rsidRPr="00842B05">
              <w:rPr>
                <w:rFonts w:ascii="Times New Roman" w:eastAsia="Calibri" w:hAnsi="Times New Roman" w:cs="Times New Roman"/>
                <w:sz w:val="18"/>
                <w:szCs w:val="18"/>
              </w:rPr>
              <w:t>oszczędnościowo-</w: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r w:rsidRPr="00842B05">
              <w:rPr>
                <w:rFonts w:ascii="Times New Roman" w:eastAsia="Calibri" w:hAnsi="Times New Roman" w:cs="Times New Roman"/>
                <w:sz w:val="18"/>
                <w:szCs w:val="18"/>
              </w:rPr>
              <w:t>kredytowych i</w: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r w:rsidRPr="00842B05">
              <w:rPr>
                <w:rFonts w:ascii="Times New Roman" w:eastAsia="Calibri" w:hAnsi="Times New Roman" w:cs="Times New Roman"/>
                <w:sz w:val="18"/>
                <w:szCs w:val="18"/>
              </w:rPr>
              <w:t>instytucji płatniczych</w:t>
            </w:r>
          </w:p>
          <w:p w14:paraId="1D6608C9" w14:textId="77777777" w:rsidR="00C749EE" w:rsidRPr="00C749EE" w:rsidRDefault="00C749EE" w:rsidP="00C749EE">
            <w:pPr>
              <w:spacing w:before="120"/>
              <w:ind w:left="471" w:hanging="471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749EE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6.3.3. Specyfika inwentaryzacji w bankach, domach maklerskich, funduszach inwestycyjnych, </w:t>
            </w:r>
            <w:r w:rsidRPr="00C749EE">
              <w:rPr>
                <w:rFonts w:ascii="Times New Roman" w:eastAsia="Calibri" w:hAnsi="Times New Roman" w:cs="Times New Roman"/>
                <w:sz w:val="18"/>
                <w:szCs w:val="18"/>
              </w:rPr>
              <w:lastRenderedPageBreak/>
              <w:t>spółdzielczych kasach oszczędnościowo-kredytowych i instytucjach płatniczych,</w:t>
            </w:r>
          </w:p>
          <w:p w14:paraId="6E6BB88B" w14:textId="77777777" w:rsidR="00C749EE" w:rsidRPr="00C749EE" w:rsidRDefault="00C749EE" w:rsidP="00C749EE">
            <w:pPr>
              <w:spacing w:before="120"/>
              <w:ind w:left="471" w:hanging="471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749EE">
              <w:rPr>
                <w:rFonts w:ascii="Times New Roman" w:eastAsia="Calibri" w:hAnsi="Times New Roman" w:cs="Times New Roman"/>
                <w:sz w:val="18"/>
                <w:szCs w:val="18"/>
              </w:rPr>
              <w:t>6.3.4.</w:t>
            </w:r>
            <w:r w:rsidRPr="00C749EE">
              <w:rPr>
                <w:rFonts w:ascii="Times New Roman" w:eastAsia="Calibri" w:hAnsi="Times New Roman" w:cs="Times New Roman"/>
                <w:sz w:val="18"/>
                <w:szCs w:val="18"/>
              </w:rPr>
              <w:tab/>
              <w:t>Ujęcie w księgach rachunkowych różnic pomiędzy wyceną początkową, bieżącą i bilansową.</w:t>
            </w:r>
          </w:p>
          <w:p w14:paraId="3593AF2C" w14:textId="77777777" w:rsidR="00C749EE" w:rsidRPr="00C749EE" w:rsidRDefault="00C749EE" w:rsidP="00C749EE">
            <w:pPr>
              <w:spacing w:before="120"/>
              <w:ind w:left="471" w:hanging="471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749EE">
              <w:rPr>
                <w:rFonts w:ascii="Times New Roman" w:eastAsia="Calibri" w:hAnsi="Times New Roman" w:cs="Times New Roman"/>
                <w:sz w:val="18"/>
                <w:szCs w:val="18"/>
              </w:rPr>
              <w:t>6.3.5. Wycena i księgowe ujęcie operacji pochodnymi instrumentami finansowymi oraz stosowanie rachunkowości zabezpieczeń.</w:t>
            </w:r>
          </w:p>
          <w:p w14:paraId="7DB3FC6E" w14:textId="77777777" w:rsidR="00C749EE" w:rsidRPr="00C749EE" w:rsidRDefault="00C749EE" w:rsidP="00C749EE">
            <w:pPr>
              <w:spacing w:before="120"/>
              <w:ind w:left="471" w:hanging="471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749EE">
              <w:rPr>
                <w:rFonts w:ascii="Times New Roman" w:eastAsia="Calibri" w:hAnsi="Times New Roman" w:cs="Times New Roman"/>
                <w:sz w:val="18"/>
                <w:szCs w:val="18"/>
              </w:rPr>
              <w:t>6.3.6.</w:t>
            </w:r>
            <w:r w:rsidRPr="00C749EE">
              <w:rPr>
                <w:rFonts w:ascii="Times New Roman" w:eastAsia="Calibri" w:hAnsi="Times New Roman" w:cs="Times New Roman"/>
                <w:sz w:val="18"/>
                <w:szCs w:val="18"/>
              </w:rPr>
              <w:tab/>
              <w:t>Ustalanie wyniku finansowego i jego rozliczanie.</w:t>
            </w:r>
          </w:p>
          <w:p w14:paraId="1DEA4761" w14:textId="77777777" w:rsidR="00EC30FE" w:rsidRDefault="00C749EE" w:rsidP="00C749EE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749EE">
              <w:rPr>
                <w:rFonts w:ascii="Times New Roman" w:eastAsia="Calibri" w:hAnsi="Times New Roman" w:cs="Times New Roman"/>
                <w:sz w:val="18"/>
                <w:szCs w:val="18"/>
              </w:rPr>
              <w:t>6.3.7. Szczegółowe zasady rachunkowości dla firm inwestycyjnych i</w:t>
            </w:r>
          </w:p>
          <w:p w14:paraId="3C4BD47D" w14:textId="39D14ECB" w:rsidR="00596BEF" w:rsidRDefault="00EC30FE" w:rsidP="00C749EE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</w:t>
            </w:r>
            <w:r w:rsidR="0078513D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  </w: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 </w:t>
            </w:r>
            <w:r w:rsidR="00C749EE" w:rsidRPr="00C749EE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instytucji płatniczych</w:t>
            </w:r>
          </w:p>
          <w:p w14:paraId="50FED23F" w14:textId="77777777" w:rsidR="0078513D" w:rsidRDefault="0078513D" w:rsidP="00C749EE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14:paraId="23B84990" w14:textId="3DCA57DE" w:rsidR="00596BEF" w:rsidRDefault="00976530" w:rsidP="005929A5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6.4. </w:t>
            </w:r>
            <w:r w:rsidRPr="00D57E17">
              <w:rPr>
                <w:rFonts w:ascii="Times New Roman" w:hAnsi="Times New Roman" w:cs="Times New Roman"/>
                <w:b/>
                <w:sz w:val="18"/>
                <w:szCs w:val="18"/>
              </w:rPr>
              <w:t>Rachunkowość finansowa jednostek prowadzących działalność na podstawie ustawy o działalności ubezpieczeniowej i reasekuracyjnej oraz ustawy o organizacji i funkcjonowaniu funduszy emerytalnych – według ustawy o rachunkowości i MSR.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             </w:t>
            </w:r>
          </w:p>
          <w:p w14:paraId="3D165D8B" w14:textId="77777777" w:rsidR="000F44D8" w:rsidRPr="000F44D8" w:rsidRDefault="000F44D8" w:rsidP="000F44D8">
            <w:pPr>
              <w:spacing w:before="120"/>
              <w:ind w:left="471" w:hanging="471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0F44D8">
              <w:rPr>
                <w:rFonts w:ascii="Times New Roman" w:eastAsia="Calibri" w:hAnsi="Times New Roman" w:cs="Times New Roman"/>
                <w:sz w:val="18"/>
                <w:szCs w:val="18"/>
              </w:rPr>
              <w:t>6.4.1.</w:t>
            </w:r>
            <w:r w:rsidRPr="000F44D8">
              <w:rPr>
                <w:rFonts w:ascii="Times New Roman" w:eastAsia="Calibri" w:hAnsi="Times New Roman" w:cs="Times New Roman"/>
                <w:sz w:val="18"/>
                <w:szCs w:val="18"/>
              </w:rPr>
              <w:tab/>
              <w:t>Wycena początkowa i bilansowa poszczególnych składników aktywów i pasywów.</w:t>
            </w:r>
          </w:p>
          <w:p w14:paraId="32AB3BB3" w14:textId="72534A0B" w:rsidR="000F44D8" w:rsidRDefault="000F44D8" w:rsidP="000F44D8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0F44D8">
              <w:rPr>
                <w:rFonts w:ascii="Times New Roman" w:eastAsia="Calibri" w:hAnsi="Times New Roman" w:cs="Times New Roman"/>
                <w:sz w:val="18"/>
                <w:szCs w:val="18"/>
              </w:rPr>
              <w:t>6.4.2.</w:t>
            </w:r>
            <w:r w:rsidR="00B0630B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r w:rsidRPr="000F44D8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Ujęcie w księgach rachunkowych zdarzeń gospodarczych </w:t>
            </w:r>
          </w:p>
          <w:p w14:paraId="41659FB8" w14:textId="004C8009" w:rsidR="000F44D8" w:rsidRDefault="000F44D8" w:rsidP="000F44D8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      </w:t>
            </w:r>
            <w:r w:rsidR="00B0630B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r w:rsidRPr="000F44D8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związanych z działalnością operacyjną, inwestycyjną i </w:t>
            </w:r>
          </w:p>
          <w:p w14:paraId="3AFD5652" w14:textId="11D88C73" w:rsidR="000F44D8" w:rsidRDefault="000F44D8" w:rsidP="000F44D8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      </w:t>
            </w:r>
            <w:r w:rsidR="00B0630B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r w:rsidRPr="000F44D8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finansową scharakteryzowanych w punkcie 6.1.2., a ponadto </w:t>
            </w:r>
          </w:p>
          <w:p w14:paraId="0243A69A" w14:textId="3B90CD94" w:rsidR="000F44D8" w:rsidRDefault="000F44D8" w:rsidP="000F44D8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      </w:t>
            </w:r>
            <w:r w:rsidR="00B0630B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r w:rsidRPr="000F44D8">
              <w:rPr>
                <w:rFonts w:ascii="Times New Roman" w:eastAsia="Calibri" w:hAnsi="Times New Roman" w:cs="Times New Roman"/>
                <w:sz w:val="18"/>
                <w:szCs w:val="18"/>
              </w:rPr>
              <w:t>operacji specyficznych dla działalności ubezpieczeniowej</w:t>
            </w:r>
          </w:p>
          <w:p w14:paraId="5B4BF2DD" w14:textId="47C021BD" w:rsidR="00B0630B" w:rsidRPr="00B0630B" w:rsidRDefault="00B0630B" w:rsidP="00B0630B">
            <w:pPr>
              <w:spacing w:before="120"/>
              <w:ind w:left="471" w:hanging="471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6.</w:t>
            </w:r>
            <w:r w:rsidRPr="00B0630B">
              <w:rPr>
                <w:rFonts w:ascii="Times New Roman" w:eastAsia="Calibri" w:hAnsi="Times New Roman" w:cs="Times New Roman"/>
                <w:sz w:val="18"/>
                <w:szCs w:val="18"/>
              </w:rPr>
              <w:t>.4.3.</w:t>
            </w:r>
            <w:r w:rsidRPr="00B0630B">
              <w:rPr>
                <w:rFonts w:ascii="Times New Roman" w:eastAsia="Calibri" w:hAnsi="Times New Roman" w:cs="Times New Roman"/>
                <w:sz w:val="18"/>
                <w:szCs w:val="18"/>
              </w:rPr>
              <w:tab/>
              <w:t>Ujęcie w księgach rachunkowych różnic pomiędzy wyceną początkową, bieżącą i bilansową.</w:t>
            </w:r>
          </w:p>
          <w:p w14:paraId="0BB0EA38" w14:textId="77777777" w:rsidR="00B0630B" w:rsidRPr="00B0630B" w:rsidRDefault="00B0630B" w:rsidP="00B0630B">
            <w:pPr>
              <w:spacing w:before="120"/>
              <w:ind w:left="471" w:hanging="471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B0630B">
              <w:rPr>
                <w:rFonts w:ascii="Times New Roman" w:eastAsia="Calibri" w:hAnsi="Times New Roman" w:cs="Times New Roman"/>
                <w:sz w:val="18"/>
                <w:szCs w:val="18"/>
              </w:rPr>
              <w:lastRenderedPageBreak/>
              <w:t>6.4.4.</w:t>
            </w:r>
            <w:r w:rsidRPr="00B0630B">
              <w:rPr>
                <w:rFonts w:ascii="Times New Roman" w:eastAsia="Calibri" w:hAnsi="Times New Roman" w:cs="Times New Roman"/>
                <w:sz w:val="18"/>
                <w:szCs w:val="18"/>
              </w:rPr>
              <w:tab/>
              <w:t>Księgowe ujęcie pozostałych kosztów i przychodów technicznych i oraz pozostałych kosztów i przychodów operacyjnych.</w:t>
            </w:r>
          </w:p>
          <w:p w14:paraId="1D162955" w14:textId="77777777" w:rsidR="00B0630B" w:rsidRPr="00B0630B" w:rsidRDefault="00B0630B" w:rsidP="00B0630B">
            <w:pPr>
              <w:spacing w:before="120"/>
              <w:ind w:left="471" w:hanging="471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B0630B">
              <w:rPr>
                <w:rFonts w:ascii="Times New Roman" w:eastAsia="Calibri" w:hAnsi="Times New Roman" w:cs="Times New Roman"/>
                <w:sz w:val="18"/>
                <w:szCs w:val="18"/>
              </w:rPr>
              <w:t>6.4.5.</w:t>
            </w:r>
            <w:r w:rsidRPr="00B0630B">
              <w:rPr>
                <w:rFonts w:ascii="Times New Roman" w:eastAsia="Calibri" w:hAnsi="Times New Roman" w:cs="Times New Roman"/>
                <w:sz w:val="18"/>
                <w:szCs w:val="18"/>
              </w:rPr>
              <w:tab/>
              <w:t>Ustalanie wyniku technicznego i finansowego.</w:t>
            </w:r>
          </w:p>
          <w:p w14:paraId="2AA4C989" w14:textId="77777777" w:rsidR="00B0630B" w:rsidRDefault="00B0630B" w:rsidP="00B0630B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B0630B">
              <w:rPr>
                <w:rFonts w:ascii="Times New Roman" w:eastAsia="Calibri" w:hAnsi="Times New Roman" w:cs="Times New Roman"/>
                <w:sz w:val="18"/>
                <w:szCs w:val="18"/>
              </w:rPr>
              <w:t>6.4.6.</w: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r w:rsidRPr="00B0630B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Specyficzne zagadnienia rachunkowości funduszy </w:t>
            </w:r>
          </w:p>
          <w:p w14:paraId="6D7C7972" w14:textId="153B5886" w:rsidR="00B0630B" w:rsidRDefault="00B0630B" w:rsidP="00B0630B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        </w:t>
            </w:r>
            <w:r w:rsidRPr="00B0630B">
              <w:rPr>
                <w:rFonts w:ascii="Times New Roman" w:eastAsia="Calibri" w:hAnsi="Times New Roman" w:cs="Times New Roman"/>
                <w:sz w:val="18"/>
                <w:szCs w:val="18"/>
              </w:rPr>
              <w:t>emerytalnych.</w:t>
            </w:r>
          </w:p>
          <w:p w14:paraId="2185079A" w14:textId="7ACF75B3" w:rsidR="00596BEF" w:rsidRDefault="0031249B" w:rsidP="005929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b/>
                <w:sz w:val="18"/>
                <w:szCs w:val="18"/>
              </w:rPr>
              <w:t>6.5. Rachunkowość jednostek sektora finansów publicznych</w:t>
            </w:r>
          </w:p>
          <w:p w14:paraId="53664CEF" w14:textId="77777777" w:rsidR="009A3A4E" w:rsidRPr="009A3A4E" w:rsidRDefault="009A3A4E" w:rsidP="009A3A4E">
            <w:pPr>
              <w:spacing w:before="120"/>
              <w:ind w:left="471" w:hanging="471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A3A4E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6.5.1. Rachunkowość jednostek sektora finansów publicznych posiadających osobowość prawną. </w:t>
            </w:r>
          </w:p>
          <w:p w14:paraId="546C4D97" w14:textId="77777777" w:rsidR="009A3A4E" w:rsidRDefault="009A3A4E" w:rsidP="009A3A4E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A3A4E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6.5.2. Rachunkowość budżetowa, w tym jednostek samorządu </w:t>
            </w:r>
          </w:p>
          <w:p w14:paraId="0C6E0F6B" w14:textId="5B416A16" w:rsidR="00596BEF" w:rsidRDefault="009A3A4E" w:rsidP="009A3A4E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        </w:t>
            </w:r>
            <w:r w:rsidRPr="009A3A4E">
              <w:rPr>
                <w:rFonts w:ascii="Times New Roman" w:eastAsia="Calibri" w:hAnsi="Times New Roman" w:cs="Times New Roman"/>
                <w:sz w:val="18"/>
                <w:szCs w:val="18"/>
              </w:rPr>
              <w:t>terytorialnego.</w:t>
            </w:r>
          </w:p>
          <w:p w14:paraId="43BE6632" w14:textId="77777777" w:rsidR="009A3A4E" w:rsidRDefault="009A3A4E" w:rsidP="009A3A4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03C54FB" w14:textId="68127851" w:rsidR="00596BEF" w:rsidRDefault="00094AE2" w:rsidP="005929A5">
            <w:pPr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 xml:space="preserve">6. </w:t>
            </w:r>
            <w:r w:rsidRPr="00094AE2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6. Rachunkowość jednostek w szczególnych sytuacjach - według ustawy o rachunkowości (UoR) i MSR</w:t>
            </w:r>
          </w:p>
          <w:p w14:paraId="2C5BE45C" w14:textId="36935762" w:rsidR="00D87899" w:rsidRPr="00D87899" w:rsidRDefault="00E92203" w:rsidP="00D87899">
            <w:pPr>
              <w:spacing w:before="120"/>
              <w:ind w:left="471" w:hanging="471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6.</w:t>
            </w:r>
            <w:r w:rsidR="00D87899" w:rsidRPr="00D87899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.6.1. Rachunkowość jednostek w szczególnych sytuacjach (według ustawy o rachunkowości i MSR), w tym: </w:t>
            </w:r>
          </w:p>
          <w:p w14:paraId="5C547829" w14:textId="77777777" w:rsidR="00D87899" w:rsidRPr="00D87899" w:rsidRDefault="00D87899" w:rsidP="00D87899">
            <w:pPr>
              <w:numPr>
                <w:ilvl w:val="0"/>
                <w:numId w:val="8"/>
              </w:num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D87899">
              <w:rPr>
                <w:rFonts w:ascii="Times New Roman" w:eastAsia="Calibri" w:hAnsi="Times New Roman" w:cs="Times New Roman"/>
                <w:sz w:val="18"/>
                <w:szCs w:val="18"/>
              </w:rPr>
              <w:t>zakładanie i przekształcanie jednostek gospodarczych,</w:t>
            </w:r>
          </w:p>
          <w:p w14:paraId="2F929576" w14:textId="77777777" w:rsidR="00D87899" w:rsidRDefault="00D87899" w:rsidP="00D87899">
            <w:pPr>
              <w:numPr>
                <w:ilvl w:val="0"/>
                <w:numId w:val="8"/>
              </w:num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D87899">
              <w:rPr>
                <w:rFonts w:ascii="Times New Roman" w:eastAsia="Calibri" w:hAnsi="Times New Roman" w:cs="Times New Roman"/>
                <w:sz w:val="18"/>
                <w:szCs w:val="18"/>
              </w:rPr>
              <w:t>łączenie, podział i przejęcia spółek,</w:t>
            </w:r>
          </w:p>
          <w:p w14:paraId="7AFBE3B7" w14:textId="257C9E2B" w:rsidR="00D87899" w:rsidRPr="00D87899" w:rsidRDefault="00D87899" w:rsidP="00D87899">
            <w:pPr>
              <w:numPr>
                <w:ilvl w:val="0"/>
                <w:numId w:val="8"/>
              </w:numPr>
              <w:contextualSpacing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D87899">
              <w:rPr>
                <w:rFonts w:ascii="Times New Roman" w:eastAsia="Calibri" w:hAnsi="Times New Roman" w:cs="Times New Roman"/>
                <w:sz w:val="18"/>
                <w:szCs w:val="18"/>
              </w:rPr>
              <w:t>postępowanie restrukturyzacyjne, likwidacja, upadłość jednostek gospodarczych</w:t>
            </w:r>
          </w:p>
          <w:p w14:paraId="51C4CC07" w14:textId="77777777" w:rsidR="00596BEF" w:rsidRDefault="00596BEF" w:rsidP="005929A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06C66C9" w14:textId="77777777" w:rsidR="00596BEF" w:rsidRDefault="00596BEF" w:rsidP="005929A5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7F99DF02" w14:textId="77777777" w:rsidR="00244484" w:rsidRDefault="00244484" w:rsidP="005929A5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708DA41D" w14:textId="69FF3B7B" w:rsidR="00244484" w:rsidRPr="00BB476D" w:rsidRDefault="00244484" w:rsidP="005929A5"/>
        </w:tc>
        <w:tc>
          <w:tcPr>
            <w:tcW w:w="3118" w:type="dxa"/>
          </w:tcPr>
          <w:p w14:paraId="708DA41E" w14:textId="77777777" w:rsidR="00E23546" w:rsidRPr="00BB476D" w:rsidRDefault="00E23546" w:rsidP="005929A5"/>
        </w:tc>
        <w:tc>
          <w:tcPr>
            <w:tcW w:w="3686" w:type="dxa"/>
          </w:tcPr>
          <w:p w14:paraId="708DA41F" w14:textId="77777777" w:rsidR="00E23546" w:rsidRPr="00BB476D" w:rsidRDefault="00E23546" w:rsidP="005929A5"/>
        </w:tc>
        <w:tc>
          <w:tcPr>
            <w:tcW w:w="3685" w:type="dxa"/>
          </w:tcPr>
          <w:p w14:paraId="708DA420" w14:textId="77777777" w:rsidR="00E23546" w:rsidRPr="00BB476D" w:rsidRDefault="00E23546" w:rsidP="005929A5"/>
        </w:tc>
      </w:tr>
    </w:tbl>
    <w:p w14:paraId="708DA422" w14:textId="77777777" w:rsidR="00E5717C" w:rsidRDefault="00E5717C" w:rsidP="00AE566E"/>
    <w:sectPr w:rsidR="00E5717C" w:rsidSect="00AE566E">
      <w:footerReference w:type="default" r:id="rId7"/>
      <w:footnotePr>
        <w:numRestart w:val="eachPage"/>
      </w:footnotePr>
      <w:pgSz w:w="16838" w:h="11906" w:orient="landscape"/>
      <w:pgMar w:top="851" w:right="568" w:bottom="1417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08DA425" w14:textId="77777777" w:rsidR="004D1EF7" w:rsidRDefault="004D1EF7" w:rsidP="00E23546">
      <w:pPr>
        <w:spacing w:after="0" w:line="240" w:lineRule="auto"/>
      </w:pPr>
      <w:r>
        <w:separator/>
      </w:r>
    </w:p>
  </w:endnote>
  <w:endnote w:type="continuationSeparator" w:id="0">
    <w:p w14:paraId="708DA426" w14:textId="77777777" w:rsidR="004D1EF7" w:rsidRDefault="004D1EF7" w:rsidP="00E235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788400426"/>
      <w:docPartObj>
        <w:docPartGallery w:val="Page Numbers (Bottom of Page)"/>
        <w:docPartUnique/>
      </w:docPartObj>
    </w:sdtPr>
    <w:sdtEndPr/>
    <w:sdtContent>
      <w:p w14:paraId="708DA427" w14:textId="77777777" w:rsidR="00E23546" w:rsidRDefault="00E23546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25C9D">
          <w:rPr>
            <w:noProof/>
          </w:rPr>
          <w:t>2</w:t>
        </w:r>
        <w:r>
          <w:fldChar w:fldCharType="end"/>
        </w:r>
      </w:p>
    </w:sdtContent>
  </w:sdt>
  <w:p w14:paraId="708DA428" w14:textId="77777777" w:rsidR="00E23546" w:rsidRDefault="00E23546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08DA423" w14:textId="77777777" w:rsidR="004D1EF7" w:rsidRDefault="004D1EF7" w:rsidP="00E23546">
      <w:pPr>
        <w:spacing w:after="0" w:line="240" w:lineRule="auto"/>
      </w:pPr>
      <w:r>
        <w:separator/>
      </w:r>
    </w:p>
  </w:footnote>
  <w:footnote w:type="continuationSeparator" w:id="0">
    <w:p w14:paraId="708DA424" w14:textId="77777777" w:rsidR="004D1EF7" w:rsidRDefault="004D1EF7" w:rsidP="00E23546">
      <w:pPr>
        <w:spacing w:after="0" w:line="240" w:lineRule="auto"/>
      </w:pPr>
      <w:r>
        <w:continuationSeparator/>
      </w:r>
    </w:p>
  </w:footnote>
  <w:footnote w:id="1">
    <w:p w14:paraId="708DA429" w14:textId="77777777" w:rsidR="00E23546" w:rsidRDefault="00E23546" w:rsidP="00E23546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B43A9A">
        <w:rPr>
          <w:sz w:val="18"/>
          <w:szCs w:val="18"/>
        </w:rPr>
        <w:t>Wpisuje się treści wynikające z sylabusa/karty, które odpowiadają zakresowi wiedzy wymaganemu przez Komisję Egzaminacyjną.</w:t>
      </w:r>
    </w:p>
  </w:footnote>
  <w:footnote w:id="2">
    <w:p w14:paraId="708DA42A" w14:textId="77777777" w:rsidR="00E23546" w:rsidRDefault="00E23546" w:rsidP="00E23546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854369">
        <w:rPr>
          <w:sz w:val="18"/>
          <w:szCs w:val="18"/>
        </w:rPr>
        <w:t>W przypadku wskazania większej (niż 3)  liczby przedmiotów składających się na egzamin objęty postępowaniem kwalifikacyjnym należy dołączyć i wypełnić kolejne kolumny matrycy.</w:t>
      </w:r>
    </w:p>
    <w:p w14:paraId="708DA42B" w14:textId="77777777" w:rsidR="00E23546" w:rsidRDefault="00E23546" w:rsidP="00E23546">
      <w:pPr>
        <w:pStyle w:val="Tekstprzypisudolnego"/>
      </w:pPr>
    </w:p>
  </w:footnote>
  <w:footnote w:id="3">
    <w:p w14:paraId="0926E483" w14:textId="77777777" w:rsidR="00965E4E" w:rsidRPr="00EA34CE" w:rsidRDefault="00965E4E" w:rsidP="00965E4E">
      <w:pPr>
        <w:pStyle w:val="Tekstprzypisudolnego"/>
        <w:rPr>
          <w:sz w:val="18"/>
          <w:szCs w:val="18"/>
        </w:rPr>
      </w:pPr>
      <w:r w:rsidRPr="00FD6C7F">
        <w:rPr>
          <w:rStyle w:val="Odwoanieprzypisudolnego"/>
        </w:rPr>
        <w:footnoteRef/>
      </w:r>
      <w:r w:rsidRPr="00FD6C7F">
        <w:t xml:space="preserve"> </w:t>
      </w:r>
      <w:r w:rsidRPr="00EA34CE">
        <w:rPr>
          <w:sz w:val="18"/>
          <w:szCs w:val="18"/>
        </w:rPr>
        <w:t>Międzynarodowe Standardy Rachunkowości (MSR) w rozumieniu ustawy z dnia 29</w:t>
      </w:r>
      <w:r>
        <w:rPr>
          <w:sz w:val="18"/>
          <w:szCs w:val="18"/>
        </w:rPr>
        <w:t xml:space="preserve"> września </w:t>
      </w:r>
      <w:r w:rsidRPr="00EA34CE">
        <w:rPr>
          <w:sz w:val="18"/>
          <w:szCs w:val="18"/>
        </w:rPr>
        <w:t xml:space="preserve">1994 r. o rachunkowości (t.j. </w:t>
      </w:r>
      <w:r>
        <w:rPr>
          <w:sz w:val="18"/>
          <w:szCs w:val="18"/>
        </w:rPr>
        <w:t>Dz.U. z 2021 r. poz.217 z późn. zm.)</w:t>
      </w:r>
      <w:r w:rsidRPr="00EA34CE">
        <w:rPr>
          <w:sz w:val="18"/>
          <w:szCs w:val="18"/>
        </w:rPr>
        <w:t>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641004"/>
    <w:multiLevelType w:val="hybridMultilevel"/>
    <w:tmpl w:val="60CAC1DA"/>
    <w:lvl w:ilvl="0" w:tplc="04150017">
      <w:start w:val="1"/>
      <w:numFmt w:val="lowerLetter"/>
      <w:lvlText w:val="%1)"/>
      <w:lvlJc w:val="left"/>
      <w:pPr>
        <w:ind w:left="830" w:hanging="360"/>
      </w:pPr>
    </w:lvl>
    <w:lvl w:ilvl="1" w:tplc="04150019" w:tentative="1">
      <w:start w:val="1"/>
      <w:numFmt w:val="lowerLetter"/>
      <w:lvlText w:val="%2."/>
      <w:lvlJc w:val="left"/>
      <w:pPr>
        <w:ind w:left="1550" w:hanging="360"/>
      </w:pPr>
    </w:lvl>
    <w:lvl w:ilvl="2" w:tplc="0415001B" w:tentative="1">
      <w:start w:val="1"/>
      <w:numFmt w:val="lowerRoman"/>
      <w:lvlText w:val="%3."/>
      <w:lvlJc w:val="right"/>
      <w:pPr>
        <w:ind w:left="2270" w:hanging="180"/>
      </w:pPr>
    </w:lvl>
    <w:lvl w:ilvl="3" w:tplc="0415000F" w:tentative="1">
      <w:start w:val="1"/>
      <w:numFmt w:val="decimal"/>
      <w:lvlText w:val="%4."/>
      <w:lvlJc w:val="left"/>
      <w:pPr>
        <w:ind w:left="2990" w:hanging="360"/>
      </w:pPr>
    </w:lvl>
    <w:lvl w:ilvl="4" w:tplc="04150019" w:tentative="1">
      <w:start w:val="1"/>
      <w:numFmt w:val="lowerLetter"/>
      <w:lvlText w:val="%5."/>
      <w:lvlJc w:val="left"/>
      <w:pPr>
        <w:ind w:left="3710" w:hanging="360"/>
      </w:pPr>
    </w:lvl>
    <w:lvl w:ilvl="5" w:tplc="0415001B" w:tentative="1">
      <w:start w:val="1"/>
      <w:numFmt w:val="lowerRoman"/>
      <w:lvlText w:val="%6."/>
      <w:lvlJc w:val="right"/>
      <w:pPr>
        <w:ind w:left="4430" w:hanging="180"/>
      </w:pPr>
    </w:lvl>
    <w:lvl w:ilvl="6" w:tplc="0415000F" w:tentative="1">
      <w:start w:val="1"/>
      <w:numFmt w:val="decimal"/>
      <w:lvlText w:val="%7."/>
      <w:lvlJc w:val="left"/>
      <w:pPr>
        <w:ind w:left="5150" w:hanging="360"/>
      </w:pPr>
    </w:lvl>
    <w:lvl w:ilvl="7" w:tplc="04150019" w:tentative="1">
      <w:start w:val="1"/>
      <w:numFmt w:val="lowerLetter"/>
      <w:lvlText w:val="%8."/>
      <w:lvlJc w:val="left"/>
      <w:pPr>
        <w:ind w:left="5870" w:hanging="360"/>
      </w:pPr>
    </w:lvl>
    <w:lvl w:ilvl="8" w:tplc="0415001B" w:tentative="1">
      <w:start w:val="1"/>
      <w:numFmt w:val="lowerRoman"/>
      <w:lvlText w:val="%9."/>
      <w:lvlJc w:val="right"/>
      <w:pPr>
        <w:ind w:left="6590" w:hanging="180"/>
      </w:pPr>
    </w:lvl>
  </w:abstractNum>
  <w:abstractNum w:abstractNumId="1" w15:restartNumberingAfterBreak="0">
    <w:nsid w:val="1B0C51CC"/>
    <w:multiLevelType w:val="hybridMultilevel"/>
    <w:tmpl w:val="804097C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B85027"/>
    <w:multiLevelType w:val="hybridMultilevel"/>
    <w:tmpl w:val="60CAC1DA"/>
    <w:lvl w:ilvl="0" w:tplc="04150017">
      <w:start w:val="1"/>
      <w:numFmt w:val="lowerLetter"/>
      <w:lvlText w:val="%1)"/>
      <w:lvlJc w:val="left"/>
      <w:pPr>
        <w:ind w:left="830" w:hanging="360"/>
      </w:pPr>
    </w:lvl>
    <w:lvl w:ilvl="1" w:tplc="04150019" w:tentative="1">
      <w:start w:val="1"/>
      <w:numFmt w:val="lowerLetter"/>
      <w:lvlText w:val="%2."/>
      <w:lvlJc w:val="left"/>
      <w:pPr>
        <w:ind w:left="1550" w:hanging="360"/>
      </w:pPr>
    </w:lvl>
    <w:lvl w:ilvl="2" w:tplc="0415001B" w:tentative="1">
      <w:start w:val="1"/>
      <w:numFmt w:val="lowerRoman"/>
      <w:lvlText w:val="%3."/>
      <w:lvlJc w:val="right"/>
      <w:pPr>
        <w:ind w:left="2270" w:hanging="180"/>
      </w:pPr>
    </w:lvl>
    <w:lvl w:ilvl="3" w:tplc="0415000F" w:tentative="1">
      <w:start w:val="1"/>
      <w:numFmt w:val="decimal"/>
      <w:lvlText w:val="%4."/>
      <w:lvlJc w:val="left"/>
      <w:pPr>
        <w:ind w:left="2990" w:hanging="360"/>
      </w:pPr>
    </w:lvl>
    <w:lvl w:ilvl="4" w:tplc="04150019" w:tentative="1">
      <w:start w:val="1"/>
      <w:numFmt w:val="lowerLetter"/>
      <w:lvlText w:val="%5."/>
      <w:lvlJc w:val="left"/>
      <w:pPr>
        <w:ind w:left="3710" w:hanging="360"/>
      </w:pPr>
    </w:lvl>
    <w:lvl w:ilvl="5" w:tplc="0415001B" w:tentative="1">
      <w:start w:val="1"/>
      <w:numFmt w:val="lowerRoman"/>
      <w:lvlText w:val="%6."/>
      <w:lvlJc w:val="right"/>
      <w:pPr>
        <w:ind w:left="4430" w:hanging="180"/>
      </w:pPr>
    </w:lvl>
    <w:lvl w:ilvl="6" w:tplc="0415000F" w:tentative="1">
      <w:start w:val="1"/>
      <w:numFmt w:val="decimal"/>
      <w:lvlText w:val="%7."/>
      <w:lvlJc w:val="left"/>
      <w:pPr>
        <w:ind w:left="5150" w:hanging="360"/>
      </w:pPr>
    </w:lvl>
    <w:lvl w:ilvl="7" w:tplc="04150019" w:tentative="1">
      <w:start w:val="1"/>
      <w:numFmt w:val="lowerLetter"/>
      <w:lvlText w:val="%8."/>
      <w:lvlJc w:val="left"/>
      <w:pPr>
        <w:ind w:left="5870" w:hanging="360"/>
      </w:pPr>
    </w:lvl>
    <w:lvl w:ilvl="8" w:tplc="0415001B" w:tentative="1">
      <w:start w:val="1"/>
      <w:numFmt w:val="lowerRoman"/>
      <w:lvlText w:val="%9."/>
      <w:lvlJc w:val="right"/>
      <w:pPr>
        <w:ind w:left="6590" w:hanging="180"/>
      </w:pPr>
    </w:lvl>
  </w:abstractNum>
  <w:abstractNum w:abstractNumId="3" w15:restartNumberingAfterBreak="0">
    <w:nsid w:val="35484212"/>
    <w:multiLevelType w:val="hybridMultilevel"/>
    <w:tmpl w:val="E2C8D556"/>
    <w:lvl w:ilvl="0" w:tplc="04150011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942" w:hanging="360"/>
      </w:pPr>
    </w:lvl>
    <w:lvl w:ilvl="2" w:tplc="0415001B" w:tentative="1">
      <w:start w:val="1"/>
      <w:numFmt w:val="lowerRoman"/>
      <w:lvlText w:val="%3."/>
      <w:lvlJc w:val="right"/>
      <w:pPr>
        <w:ind w:left="2662" w:hanging="180"/>
      </w:pPr>
    </w:lvl>
    <w:lvl w:ilvl="3" w:tplc="0415000F" w:tentative="1">
      <w:start w:val="1"/>
      <w:numFmt w:val="decimal"/>
      <w:lvlText w:val="%4."/>
      <w:lvlJc w:val="left"/>
      <w:pPr>
        <w:ind w:left="3382" w:hanging="360"/>
      </w:pPr>
    </w:lvl>
    <w:lvl w:ilvl="4" w:tplc="04150019" w:tentative="1">
      <w:start w:val="1"/>
      <w:numFmt w:val="lowerLetter"/>
      <w:lvlText w:val="%5."/>
      <w:lvlJc w:val="left"/>
      <w:pPr>
        <w:ind w:left="4102" w:hanging="360"/>
      </w:pPr>
    </w:lvl>
    <w:lvl w:ilvl="5" w:tplc="0415001B" w:tentative="1">
      <w:start w:val="1"/>
      <w:numFmt w:val="lowerRoman"/>
      <w:lvlText w:val="%6."/>
      <w:lvlJc w:val="right"/>
      <w:pPr>
        <w:ind w:left="4822" w:hanging="180"/>
      </w:pPr>
    </w:lvl>
    <w:lvl w:ilvl="6" w:tplc="0415000F" w:tentative="1">
      <w:start w:val="1"/>
      <w:numFmt w:val="decimal"/>
      <w:lvlText w:val="%7."/>
      <w:lvlJc w:val="left"/>
      <w:pPr>
        <w:ind w:left="5542" w:hanging="360"/>
      </w:pPr>
    </w:lvl>
    <w:lvl w:ilvl="7" w:tplc="04150019" w:tentative="1">
      <w:start w:val="1"/>
      <w:numFmt w:val="lowerLetter"/>
      <w:lvlText w:val="%8."/>
      <w:lvlJc w:val="left"/>
      <w:pPr>
        <w:ind w:left="6262" w:hanging="360"/>
      </w:pPr>
    </w:lvl>
    <w:lvl w:ilvl="8" w:tplc="0415001B" w:tentative="1">
      <w:start w:val="1"/>
      <w:numFmt w:val="lowerRoman"/>
      <w:lvlText w:val="%9."/>
      <w:lvlJc w:val="right"/>
      <w:pPr>
        <w:ind w:left="6982" w:hanging="180"/>
      </w:pPr>
    </w:lvl>
  </w:abstractNum>
  <w:abstractNum w:abstractNumId="4" w15:restartNumberingAfterBreak="0">
    <w:nsid w:val="35ED152D"/>
    <w:multiLevelType w:val="hybridMultilevel"/>
    <w:tmpl w:val="16CAAAB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BDF644C"/>
    <w:multiLevelType w:val="hybridMultilevel"/>
    <w:tmpl w:val="7862B988"/>
    <w:lvl w:ilvl="0" w:tplc="22F2FA14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942" w:hanging="360"/>
      </w:pPr>
    </w:lvl>
    <w:lvl w:ilvl="2" w:tplc="0415001B" w:tentative="1">
      <w:start w:val="1"/>
      <w:numFmt w:val="lowerRoman"/>
      <w:lvlText w:val="%3."/>
      <w:lvlJc w:val="right"/>
      <w:pPr>
        <w:ind w:left="2662" w:hanging="180"/>
      </w:pPr>
    </w:lvl>
    <w:lvl w:ilvl="3" w:tplc="0415000F" w:tentative="1">
      <w:start w:val="1"/>
      <w:numFmt w:val="decimal"/>
      <w:lvlText w:val="%4."/>
      <w:lvlJc w:val="left"/>
      <w:pPr>
        <w:ind w:left="3382" w:hanging="360"/>
      </w:pPr>
    </w:lvl>
    <w:lvl w:ilvl="4" w:tplc="04150019" w:tentative="1">
      <w:start w:val="1"/>
      <w:numFmt w:val="lowerLetter"/>
      <w:lvlText w:val="%5."/>
      <w:lvlJc w:val="left"/>
      <w:pPr>
        <w:ind w:left="4102" w:hanging="360"/>
      </w:pPr>
    </w:lvl>
    <w:lvl w:ilvl="5" w:tplc="0415001B" w:tentative="1">
      <w:start w:val="1"/>
      <w:numFmt w:val="lowerRoman"/>
      <w:lvlText w:val="%6."/>
      <w:lvlJc w:val="right"/>
      <w:pPr>
        <w:ind w:left="4822" w:hanging="180"/>
      </w:pPr>
    </w:lvl>
    <w:lvl w:ilvl="6" w:tplc="0415000F" w:tentative="1">
      <w:start w:val="1"/>
      <w:numFmt w:val="decimal"/>
      <w:lvlText w:val="%7."/>
      <w:lvlJc w:val="left"/>
      <w:pPr>
        <w:ind w:left="5542" w:hanging="360"/>
      </w:pPr>
    </w:lvl>
    <w:lvl w:ilvl="7" w:tplc="04150019" w:tentative="1">
      <w:start w:val="1"/>
      <w:numFmt w:val="lowerLetter"/>
      <w:lvlText w:val="%8."/>
      <w:lvlJc w:val="left"/>
      <w:pPr>
        <w:ind w:left="6262" w:hanging="360"/>
      </w:pPr>
    </w:lvl>
    <w:lvl w:ilvl="8" w:tplc="0415001B" w:tentative="1">
      <w:start w:val="1"/>
      <w:numFmt w:val="lowerRoman"/>
      <w:lvlText w:val="%9."/>
      <w:lvlJc w:val="right"/>
      <w:pPr>
        <w:ind w:left="6982" w:hanging="180"/>
      </w:pPr>
    </w:lvl>
  </w:abstractNum>
  <w:abstractNum w:abstractNumId="6" w15:restartNumberingAfterBreak="0">
    <w:nsid w:val="7DC30223"/>
    <w:multiLevelType w:val="hybridMultilevel"/>
    <w:tmpl w:val="621AE1C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4"/>
  </w:num>
  <w:num w:numId="3">
    <w:abstractNumId w:val="1"/>
  </w:num>
  <w:num w:numId="4">
    <w:abstractNumId w:val="5"/>
  </w:num>
  <w:num w:numId="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  <w:num w:numId="7">
    <w:abstractNumId w:val="2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3546"/>
    <w:rsid w:val="00076527"/>
    <w:rsid w:val="00094AE2"/>
    <w:rsid w:val="000C3A79"/>
    <w:rsid w:val="000E6F52"/>
    <w:rsid w:val="000F44D8"/>
    <w:rsid w:val="00181271"/>
    <w:rsid w:val="00244484"/>
    <w:rsid w:val="0031249B"/>
    <w:rsid w:val="00325C9D"/>
    <w:rsid w:val="003313A3"/>
    <w:rsid w:val="003C1D8B"/>
    <w:rsid w:val="003F69E5"/>
    <w:rsid w:val="00443EC5"/>
    <w:rsid w:val="00473D76"/>
    <w:rsid w:val="004D1EF7"/>
    <w:rsid w:val="0057580B"/>
    <w:rsid w:val="00596BEF"/>
    <w:rsid w:val="00614563"/>
    <w:rsid w:val="00666B16"/>
    <w:rsid w:val="006D771E"/>
    <w:rsid w:val="006F2CAF"/>
    <w:rsid w:val="00714B21"/>
    <w:rsid w:val="00723577"/>
    <w:rsid w:val="007244A6"/>
    <w:rsid w:val="007542A8"/>
    <w:rsid w:val="0078513D"/>
    <w:rsid w:val="008265BD"/>
    <w:rsid w:val="00842B05"/>
    <w:rsid w:val="00880601"/>
    <w:rsid w:val="00952B01"/>
    <w:rsid w:val="00965E4E"/>
    <w:rsid w:val="00976530"/>
    <w:rsid w:val="0097695A"/>
    <w:rsid w:val="009A3A4E"/>
    <w:rsid w:val="009E153A"/>
    <w:rsid w:val="00AE566E"/>
    <w:rsid w:val="00B0630B"/>
    <w:rsid w:val="00B06ED1"/>
    <w:rsid w:val="00B22DA4"/>
    <w:rsid w:val="00C6321F"/>
    <w:rsid w:val="00C749EE"/>
    <w:rsid w:val="00CE3A89"/>
    <w:rsid w:val="00D549E3"/>
    <w:rsid w:val="00D87899"/>
    <w:rsid w:val="00DC5C07"/>
    <w:rsid w:val="00E14D7A"/>
    <w:rsid w:val="00E23546"/>
    <w:rsid w:val="00E5717C"/>
    <w:rsid w:val="00E92203"/>
    <w:rsid w:val="00E950E7"/>
    <w:rsid w:val="00EC30FE"/>
    <w:rsid w:val="00ED28ED"/>
    <w:rsid w:val="00F249F9"/>
    <w:rsid w:val="00F26BF6"/>
    <w:rsid w:val="00F716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8DA3F5"/>
  <w15:chartTrackingRefBased/>
  <w15:docId w15:val="{26CA9ED8-1394-4E86-BCDD-FC6A537F4A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23546"/>
  </w:style>
  <w:style w:type="paragraph" w:styleId="Nagwek1">
    <w:name w:val="heading 1"/>
    <w:basedOn w:val="Normalny"/>
    <w:link w:val="Nagwek1Znak"/>
    <w:uiPriority w:val="1"/>
    <w:qFormat/>
    <w:rsid w:val="00E23546"/>
    <w:pPr>
      <w:widowControl w:val="0"/>
      <w:spacing w:after="0" w:line="240" w:lineRule="auto"/>
      <w:ind w:left="1433"/>
      <w:outlineLvl w:val="0"/>
    </w:pPr>
    <w:rPr>
      <w:rFonts w:ascii="Times New Roman" w:eastAsia="Times New Roman" w:hAnsi="Times New Roman"/>
      <w:b/>
      <w:bCs/>
      <w:sz w:val="26"/>
      <w:szCs w:val="26"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1"/>
    <w:rsid w:val="00E23546"/>
    <w:rPr>
      <w:rFonts w:ascii="Times New Roman" w:eastAsia="Times New Roman" w:hAnsi="Times New Roman"/>
      <w:b/>
      <w:bCs/>
      <w:sz w:val="26"/>
      <w:szCs w:val="26"/>
      <w:lang w:val="en-US"/>
    </w:rPr>
  </w:style>
  <w:style w:type="table" w:customStyle="1" w:styleId="Tabela-Siatka1">
    <w:name w:val="Tabela - Siatka1"/>
    <w:basedOn w:val="Standardowy"/>
    <w:next w:val="Tabela-Siatka"/>
    <w:rsid w:val="00E235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Siatka">
    <w:name w:val="Table Grid"/>
    <w:basedOn w:val="Standardowy"/>
    <w:uiPriority w:val="39"/>
    <w:rsid w:val="00E235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link w:val="AkapitzlistZnak"/>
    <w:uiPriority w:val="34"/>
    <w:qFormat/>
    <w:rsid w:val="00E23546"/>
    <w:pPr>
      <w:spacing w:line="276" w:lineRule="auto"/>
      <w:ind w:left="720"/>
      <w:contextualSpacing/>
    </w:pPr>
    <w:rPr>
      <w:rFonts w:eastAsiaTheme="minorEastAsia"/>
      <w:sz w:val="21"/>
      <w:szCs w:val="21"/>
    </w:rPr>
  </w:style>
  <w:style w:type="character" w:customStyle="1" w:styleId="AkapitzlistZnak">
    <w:name w:val="Akapit z listą Znak"/>
    <w:link w:val="Akapitzlist"/>
    <w:uiPriority w:val="34"/>
    <w:qFormat/>
    <w:locked/>
    <w:rsid w:val="00E23546"/>
    <w:rPr>
      <w:rFonts w:eastAsiaTheme="minorEastAsia"/>
      <w:sz w:val="21"/>
      <w:szCs w:val="21"/>
    </w:rPr>
  </w:style>
  <w:style w:type="paragraph" w:styleId="Tekstprzypisudolnego">
    <w:name w:val="footnote text"/>
    <w:basedOn w:val="Normalny"/>
    <w:link w:val="TekstprzypisudolnegoZnak"/>
    <w:uiPriority w:val="99"/>
    <w:rsid w:val="00E2354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E23546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unhideWhenUsed/>
    <w:rsid w:val="00E23546"/>
    <w:rPr>
      <w:vertAlign w:val="superscript"/>
    </w:rPr>
  </w:style>
  <w:style w:type="paragraph" w:styleId="Stopka">
    <w:name w:val="footer"/>
    <w:basedOn w:val="Normalny"/>
    <w:link w:val="StopkaZnak"/>
    <w:uiPriority w:val="99"/>
    <w:unhideWhenUsed/>
    <w:rsid w:val="00E235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23546"/>
  </w:style>
  <w:style w:type="table" w:customStyle="1" w:styleId="Tabela-Siatka118">
    <w:name w:val="Tabela - Siatka118"/>
    <w:basedOn w:val="Standardowy"/>
    <w:next w:val="Tabela-Siatka"/>
    <w:rsid w:val="00E235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19">
    <w:name w:val="Tabela - Siatka119"/>
    <w:basedOn w:val="Standardowy"/>
    <w:next w:val="Tabela-Siatka"/>
    <w:rsid w:val="00E235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867</Words>
  <Characters>5205</Characters>
  <Application>Microsoft Office Word</Application>
  <DocSecurity>0</DocSecurity>
  <Lines>43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Sztuczka</dc:creator>
  <cp:keywords/>
  <dc:description/>
  <cp:lastModifiedBy>jlabecka</cp:lastModifiedBy>
  <cp:revision>5</cp:revision>
  <dcterms:created xsi:type="dcterms:W3CDTF">2022-10-24T12:28:00Z</dcterms:created>
  <dcterms:modified xsi:type="dcterms:W3CDTF">2022-10-24T13:16:00Z</dcterms:modified>
</cp:coreProperties>
</file>